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ZASADY WSPÓŁPRACY SZKOŁY PODSTAWOWEJ NR 9 IM. HENRYKA SIENKIEWICZA W SIEDLCACH Z INSTYTUCJAMI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ab/>
        <w:t>Szkoła współpracując z różnymi instytucjami, wspomaga młodego człowieka w jego rozwoju. W realizacji funkcji dydaktycznej oraz wychowawczej instytucje wspierają szkołę, wzbogacając pracę dydaktyczną i wychowawczą oraz kształtując umiejętności indywidualne zgodnie z zainteresowaniami uczniów. Do takich instytucji należą: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PORADNIA PSYCHOLOGICZNO – PEDAGOGICZNA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Nauczyciele i specjaliści współpracują z pracownikami poradni psychologiczno – pedagogicznej poprzez: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konsultacje;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szkoleniowe rady pedagogiczne;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diagnozy indywidualnych potrzeb dziecka;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przeprowadzania zajęć warsztatowych dla uczniów, szkoleń dla nauczycieli, rodziców;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wsparcia w sytuacjach trudnych.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Każdy nauczyciel ma prawo zwrócić się o pomoc do pracowników poradni współpracującej ze szkołą.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pl-PL"/>
        </w:rPr>
        <w:t>Do zadań poradni należy realizowanie zadań profilaktycznych oraz wspierających wychowawczą i edukacyjną funkcję przedszkola, szkoły i placówki, w tym wspieranie nauczycieli w rozwiązywaniu problemów dydaktycznych i wychowawczych”(§2 pkt. 3, Dz.U. 2013 r. poz. 199, Rozporządzenie MEN z dnia 1 lutego 2013 r. w sprawie szczegółowych zasad działania publicznych poradni psychologiczno-pedagogicznych, w tym publicznych poradni specjalistycznych).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Realizowanie przez poradnię zadań profilaktycznych oraz wspierających wychowawczą i edukacyjną funkcję szkoły polega na: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udzielaniu nauczycielom pomocy w rozpoznawaniu indywidualnych potrzeb, planowaniu i realizacji zadań z zakresu doradztwa edukacyjnego i rozwijaniu zainteresowań i  uzdolnień uczniów;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współpracy ze szkołą w udzielaniu i organizowaniu pomocy psychologiczno  - pedagogicznej;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udzielaniu nauczycielom pomocy w rozwiązywaniu problemów dydaktycznych i wychowawczych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Do zadań szkoły należą następujące działania: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podejmowanie decyzji o skierowaniu ucznia do poradni psychologiczno – pedagogicznej na podstawie obserwacji ucznia, analizy jego osiągnięć szkolnych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(przekazanie rodzicom informacji o spostrzeżeniach dotyczących ucznia i celu skierowania oraz możliwości otrzymania pomocy psychologiczno – pedagogicznej lub innej specjalistycznej);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pisemnej opinii o uczniu;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usprawiedliwienie nieobecności ucznia w szkole w wyznaczonym dniu badania;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po przekazaniu przez rodzica wyników badań (orzeczenia lub opinii) szkoła podejmuje działania stosowne do zawartych w nich zaleceń oraz wpisuje stosowne informacji do dokumentacji ucznia.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 POLICJA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ramach pracy profilaktyczno – wychowawczej szkoła i policja utrzymują stałą, bieżącą współpracę w zakresie profilaktyki zagrożeń. Koordynatorami współpracy są: pedagodzy, psycholog oraz specjalista ds. nieletnich z ramienia policji oraz dzielnicowy.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ramach współpracy policji ze szkołą organizuje się: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spotkania pedagogów/psychologa, wychowawców, dyrekcji szkoły z zaproszonymi specjalistami ds. nieletnich i patologii, podejmujące tematykę zagrożeń przestępczością oraz demoralizacją dzieci i młodzieży w środowisku lokalnym;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spotkania tematyczne młodzieży szkolnej z udziałem policjantów, m. in. na temat odpowiedzialności nieletnich za popełniane czyny karalne, prawnych aspektów narkomanii, wychowania w trzeźwości, cyberprzestępstw itp.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spotkania z młodszymi uczniami na temat zasad bezpieczeństwa, zachowań ryzykownych oraz sposobów unikania zagrożeń;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informowanie policji o zdarzeniach na terenie szkoły wypełniających znamiona przestępstwa, stanowiących zagrożenie dla życia i zdrowia uczniów oraz przejawach demoralizacji dzieci i młodzieży;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udzielanie przez policję pomocy szkole w rozwiązywaniu trudnych, mogących mieć podłoże przestępcze problemów, które zaistniały na terenie szkoły;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udział szkoły i policji w programach profilaktycznych związanych z zapewnieniem bezpieczeństwa uczniom oraz zapobieganiem demoralizacji i przestępczości nieletnich.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Policja powinna być wzywana do szkoły, w których konieczność policji jest konieczna – zgodnie z procedurami zawartymi w „Procedurach postępowania w przypadku sytuacji kryzysowej na terenie szkoły”, które obowiązują w szkole. Każda wizyta policjanta w szkole powinna być wcześniej zasygnalizowana dyrekcji szkoły lub uzgodniona z innym pracownikiem szkoły. Funkcjonariusz powinien przedstawić swój powód przybycia i okazać legitymację. Dyrektor ma prawo zapisać dane osobowe policjanta i numer jego legitymacji. Pedagog/psycholog powinien sprowadzić nieletniego do gabinetu i w jego obecności policjant poinformuje ucznia o przyczynach swego przybycia i czynnościach, jakie zostaną wykonane w związku z daną sprawą.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III. SĄD RODZINNY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Szkoła współpracuje z Sądem Rodzinnym w zakresie: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diagnozy środowiska rodzinnego ucznia;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interwencji w sytuacjach zagrożenia dobra dziecka, np. ze względu na             niewłaściwe sprawowanie opieki nad dzieckiem przez rodziców;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interwencji w sytuacji zagrożenia demoralizacją ucznia;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 zakresie wspierana roli wychowawczej rodziców;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w zakresie rozstrzygania o istotnych sprawach dziecka zw. z jego     funkcjonowaniem w szkole, w sytuacji braku porozumienia między rodzicami;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Szkoła współpracuje z kuratorami zawodowymi i społecznymi Sądu Rodzinnego.</w:t>
      </w:r>
    </w:p>
    <w:p>
      <w:pPr>
        <w:pStyle w:val="Normal"/>
        <w:spacing w:before="0" w:after="113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Kontakt odbywa się osobiście, telefonicznie lub pisemnie.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IV. MIEJSKI OŚRODEK POMOCY RODZINIE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Szkoła współpracuje z MOPR – em w zakresie: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rozpoznawania środowiska ucznia;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finansowania obiadów najbardziej potrzebującym;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wspierania rodzin potrzebujących pomocy;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procedury „Niebieska Karta”.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Osoby wyznaczone w szkole kontaktują się z pracownikami MOPR-u w sprawach rodzin i uczniów osobiście, telefonicznie lub pisemnie.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V. WŁADZE LOKALNE I SAMORZĄDOWE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Współpraca polega na: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zapoznaniu uczniów z pracą urzędów;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udziale przedstawicieli w ważnych uroczystościach szkolnych;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dofinansowaniu do projektów edukacyjnych i sportowych;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sponsorowaniu nagród na konkursy,  np. ligi przedmiotowe;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fundowaniu stypendiów dla uzdolnionych  uczniów;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wdrażaniu programów socjalnych dla uczniów.</w:t>
      </w:r>
    </w:p>
    <w:p>
      <w:pPr>
        <w:pStyle w:val="ListParagraph"/>
        <w:spacing w:before="0" w:after="0"/>
        <w:ind w:left="792"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VI. STRAŻ POŻARNA, STRAŻ MIEJSKA</w:t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Współpraca w zakresie: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działań profilaktycznych – prelekcje dla uczniów;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przeprowadzania różnorodnych akcji dotyczących niebezpieczeństw oraz zagrożeń czyhających na uczniów i sposoby zapobiegania;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zabezpieczania większych imprez szkolnych;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pokazów podczas festynów sportowo – rodzinnych na boisku szkolnym;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nadzoru podczas próbnych ewakuacji;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udziału uczniów w różnorodnych konkursach plastycznych i wiedzy organizowanych pod patronatem tych instytucji;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zapoznania z pracą strażaka przez najmłodszych uczniów podczas wycieczek organizowanych do tych instytucji.</w:t>
      </w:r>
    </w:p>
    <w:p>
      <w:pPr>
        <w:pStyle w:val="Normal"/>
        <w:spacing w:before="113" w:after="0"/>
        <w:jc w:val="both"/>
        <w:rPr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 xml:space="preserve">VII. INSTYTUCJE PROMUJĄCE KULTURĘ i NAUKĘ: CKiS, MOK, BIBLIOTEKA PEDAGOGICZNA, BIBLIOTEKA MIEJSKA, MUZEUM REGIONALNE, MUZEUM DIECEZJALNE, KINA, </w:t>
      </w:r>
      <w:bookmarkStart w:id="0" w:name="__DdeLink__132_278928561"/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UNIWERSYTET  PRZYRODNICZO-HUMANISTYCZNY</w:t>
      </w:r>
      <w:bookmarkEnd w:id="0"/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Współpraca polega na: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organizowaniu spotkań autorskich, koncertów muzycznych;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zwiedzaniu wystaw okazjonalnych i zasobów muzealnych;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organizowaniu czasu wolnego;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udziale uczniów w różnorodnych konkursach organizowanych przez te instytucje;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promowaniu osiągnięć uczniów w lokalnym środowisku.</w:t>
      </w:r>
    </w:p>
    <w:p>
      <w:pPr>
        <w:pStyle w:val="Normal"/>
        <w:spacing w:before="113" w:after="0"/>
        <w:jc w:val="both"/>
        <w:rPr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VIII. PARAFIA RZYMSKO – KATOLICKA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Współpraca w zakresie: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organizacji uroczystości o charakterze religijnym;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udziału uczniów w  konkursach muzycznych i wiedzy religijnej;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współpracy w zorganizowaniu pomocy najbardziej potrzebującym – działalność świetlicy parafialnej;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oprawy muzycznej podczas apeli o tematyce religijnej na terenie szkoły;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pomocy w organizacji rekolekcji dla uczniów szkoły.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 xml:space="preserve">IX. INSTYTUCJE I ORGANIZACJE WSPIERAJĄCE EDUKACJĘ EKOLOGICZNĄ i ZDROWOTNĄ: ZUO, SANEPID,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UNIWERSYTET  PRZYRODNICZO-HUMANISTYCZNY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</w:rPr>
        <w:t>, NADLEŚNICTWO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Współpraca polega na: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wspólnych działaniach ekologicznych dotyczących segregacji śmieci;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organizowaniu wycieczek edukacyjnych;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udziale uczniów w akcjach ekologicznych;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udziale uczniów w konkursach plastycznych i wiedzy o tematyce ekologicznej;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spotkaniach z osobami zajmującymi się ochroną przyrody i udział w projektach przyrodniczych;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organizacji apeli promujących zachowania ekologiczne. 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Są to instytucje, z którymi szkoła współpracuje najczęściej. Oprócz tego szkoła okazjonalnie współpracuje także z Bankiem Żywności, Wspólnotą Polską, Bankiem PKO, Polskim Czerwonym Krzyżem, Ratownictwem Medycznym, siedleckimi mediami, Stowarzyszeniem TutajTeraz.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e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4026a"/>
    <w:rPr>
      <w:color w:val="80808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90e20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590e20"/>
    <w:rPr/>
  </w:style>
  <w:style w:type="character" w:styleId="Znakiwypunktowania" w:customStyle="1">
    <w:name w:val="Znaki wypunktowania"/>
    <w:qFormat/>
    <w:rsid w:val="00b85e7c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85e7c"/>
    <w:pPr>
      <w:spacing w:lineRule="auto" w:line="276" w:before="0" w:after="140"/>
    </w:pPr>
    <w:rPr/>
  </w:style>
  <w:style w:type="paragraph" w:styleId="Lista">
    <w:name w:val="List"/>
    <w:basedOn w:val="Tretekstu"/>
    <w:rsid w:val="00b85e7c"/>
    <w:pPr/>
    <w:rPr>
      <w:rFonts w:cs="Mangal"/>
    </w:rPr>
  </w:style>
  <w:style w:type="paragraph" w:styleId="Podpis" w:customStyle="1">
    <w:name w:val="Caption"/>
    <w:basedOn w:val="Normal"/>
    <w:qFormat/>
    <w:rsid w:val="00b85e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85e7c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85e7c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590e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590e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6b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LibreOffice/6.3.0.4$Windows_x86 LibreOffice_project/057fc023c990d676a43019934386b85b21a9ee99</Application>
  <Pages>5</Pages>
  <Words>1019</Words>
  <Characters>7225</Characters>
  <CharactersWithSpaces>8146</CharactersWithSpaces>
  <Paragraphs>87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2021-01-31T17:46:00Z</dcterms:created>
  <dc:creator>Anna K</dc:creator>
  <dc:description/>
  <dc:language>pl-PL</dc:language>
  <cp:lastModifiedBy/>
  <dcterms:modified xsi:type="dcterms:W3CDTF">2021-03-17T15:39:56Z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